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Kancelaria KWKR doradzała spółce Ailleron przy strategicznej transakcji z Santander Leasing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Klient kancelarii KWKR Konieczny Wierzbicki i Partnerzy, spółka technologiczna z grupy Ailleron, podpisał umowę z Santander Leasing, w ramach której wdroży swój system LiveBank w modelu chmurowym. Jak informuje Ailleron w swoim komunikacie prasowym, transakcja ta jest kamieniem milowym w cyfrowych innowacjach i rewolucją, z której klienci Santander Leasing czerpać będą ogromne korzyści.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z Santander Leasing umożliwia udostępnienie klientom firmy leasingowej platformy LiveBank w modelu SaaS. Platforma LiveBank to cyfrowe narzędzie do zarządzania sprawami klientów, które umożliwia zdalne komunikowanie się z nimi. Dzięki LiveBank klienci Santander Leasing mogą w dowolnym momencie nawiązać połączenie czatowe z konsultantem firmy. Platforma oferuje również możliwość współdzielenia dokumentów i przeglądania historii rozmów, co ułatwia współpracę i wzmacnia relacje z klientami. Umowa ma dla spółki i Grupy Ailleron strategiczne znaczenie. Jest to pierwsze wdrożenie LiveBank dla instytucji leasingowej, co stanowi innowację w tym sektorze.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Stroną umowy jest również Operator Chmury Krajowej sp. z o.o. której zadaniem będzie świadczenie usługi chmurowej oraz wsparcie w zakresie zapewnienia zgodności wykorzystywanych usług chmurowych z wymogami prawa oraz regulacjami branżowymi, w szczególności tzw. komunikatu chmurowego UKNF.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naszych zadań, przygotowaliśmy wzór umowy na udostępnienie LiveBank Cloud w modelu SaaS uwzględniający rolę OChK oraz spełniający wymogi regulacyjne sektora finansowego. Wspieraliśmy także od strony prawnej negocjowanie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wyzwaniem było wypracowanie kompromisu w ramach wielostronnej umowy, przy jednoczesnym uwzględnieniu wymogów regulacyjnych sektora finansowego ale także zabezpieczeniu interesów naszego Klienta, Ailleron </w:t>
      </w:r>
      <w:r>
        <w:rPr>
          <w:rFonts w:ascii="calibri" w:hAnsi="calibri" w:eastAsia="calibri" w:cs="calibri"/>
          <w:sz w:val="24"/>
          <w:szCs w:val="24"/>
        </w:rPr>
        <w:t xml:space="preserve">– wskazuje zaangażowana w proces negocjacji radca prawny i ekspert ds. FinTech w kancelarii KWKR Gabriela Kocurek.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mogliśmy wesprzeć Ailleron przy przygotowaniu i negocjowaniu tej kluczowej dla spółki umowy. Życzymy Ailleron, Santander Leasing i OChK dobrej i długiej współpracy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2025-03-14T19:51:22+01:00</dcterms:created>
  <dcterms:modified xsi:type="dcterms:W3CDTF">2025-03-14T19:51:22+01:00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